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94"/>
        <w:gridCol w:w="2352"/>
        <w:gridCol w:w="2493"/>
      </w:tblGrid>
      <w:tr w:rsidR="00DF5399" w:rsidRPr="00477710" w:rsidTr="009911B9">
        <w:trPr>
          <w:trHeight w:val="90"/>
        </w:trPr>
        <w:tc>
          <w:tcPr>
            <w:tcW w:w="4794" w:type="dxa"/>
            <w:vMerge w:val="restart"/>
          </w:tcPr>
          <w:p w:rsidR="00DF5399" w:rsidRPr="00D238AE" w:rsidRDefault="001667A5" w:rsidP="00DF5399">
            <w:pPr>
              <w:jc w:val="left"/>
              <w:rPr>
                <w:rFonts w:ascii="Arial" w:hAnsi="Arial"/>
                <w:b/>
                <w:color w:val="000000"/>
                <w:lang w:val="de-DE"/>
              </w:rPr>
            </w:pPr>
            <w:r>
              <w:rPr>
                <w:rFonts w:ascii="Arial" w:hAnsi="Arial"/>
                <w:b/>
                <w:noProof/>
                <w:color w:val="000000"/>
              </w:rPr>
              <mc:AlternateContent>
                <mc:Choice Requires="wps">
                  <w:drawing>
                    <wp:anchor distT="0" distB="0" distL="114300" distR="114300" simplePos="0" relativeHeight="251655168" behindDoc="0" locked="0" layoutInCell="0" allowOverlap="1">
                      <wp:simplePos x="0" y="0"/>
                      <wp:positionH relativeFrom="column">
                        <wp:posOffset>101600</wp:posOffset>
                      </wp:positionH>
                      <wp:positionV relativeFrom="paragraph">
                        <wp:posOffset>-80645</wp:posOffset>
                      </wp:positionV>
                      <wp:extent cx="1080135" cy="108013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EA6C0F" w:rsidRDefault="00EA6C0F" w:rsidP="00EA6C0F">
                                  <w:pPr>
                                    <w:jc w:val="center"/>
                                    <w:rPr>
                                      <w:rFonts w:ascii="Arial" w:hAnsi="Arial" w:cs="Arial"/>
                                      <w:b/>
                                      <w:sz w:val="64"/>
                                      <w:szCs w:val="64"/>
                                    </w:rPr>
                                  </w:pPr>
                                </w:p>
                                <w:p w:rsidR="00EA6C0F" w:rsidRPr="004A131C" w:rsidRDefault="00EA6C0F" w:rsidP="00EA6C0F">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pt;margin-top:-6.35pt;width:85.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" o:allowincell="f" fillcolor="red" strokecolor="red">
                      <v:textbox>
                        <w:txbxContent>
                          <w:p w:rsidR="00EA6C0F" w:rsidRDefault="00EA6C0F" w:rsidP="00EA6C0F">
                            <w:pPr>
                              <w:jc w:val="center"/>
                              <w:rPr>
                                <w:rFonts w:ascii="Arial" w:hAnsi="Arial" w:cs="Arial"/>
                                <w:b/>
                                <w:sz w:val="64"/>
                                <w:szCs w:val="64"/>
                              </w:rPr>
                            </w:pPr>
                          </w:p>
                          <w:p w:rsidR="00EA6C0F" w:rsidRPr="004A131C" w:rsidRDefault="00EA6C0F" w:rsidP="00EA6C0F">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v:textbox>
                    </v:shape>
                  </w:pict>
                </mc:Fallback>
              </mc:AlternateContent>
            </w:r>
          </w:p>
        </w:tc>
        <w:tc>
          <w:tcPr>
            <w:tcW w:w="4845" w:type="dxa"/>
            <w:gridSpan w:val="2"/>
          </w:tcPr>
          <w:p w:rsidR="00DF5399" w:rsidRPr="00D238AE" w:rsidRDefault="005C752C" w:rsidP="00DF5399">
            <w:pPr>
              <w:jc w:val="left"/>
              <w:rPr>
                <w:rFonts w:ascii="Arial" w:hAnsi="Arial"/>
                <w:b/>
                <w:color w:val="FF0000"/>
                <w:sz w:val="22"/>
                <w:szCs w:val="22"/>
                <w:lang w:val="de-DE"/>
              </w:rPr>
            </w:pPr>
            <w:r>
              <w:rPr>
                <w:rFonts w:ascii="Arial" w:hAnsi="Arial"/>
                <w:b/>
                <w:color w:val="FF0000"/>
                <w:sz w:val="22"/>
                <w:szCs w:val="22"/>
                <w:lang w:val="de-DE"/>
              </w:rPr>
              <w:t xml:space="preserve">Fraktion der Progressiven Allianz </w:t>
            </w:r>
            <w:r w:rsidR="00DF5399" w:rsidRPr="00D238AE">
              <w:rPr>
                <w:rFonts w:ascii="Arial" w:hAnsi="Arial"/>
                <w:b/>
                <w:color w:val="FF0000"/>
                <w:sz w:val="22"/>
                <w:szCs w:val="22"/>
                <w:lang w:val="de-DE"/>
              </w:rPr>
              <w:t>der</w:t>
            </w:r>
          </w:p>
        </w:tc>
      </w:tr>
      <w:tr w:rsidR="00DF5399" w:rsidRPr="00D238AE" w:rsidTr="009911B9">
        <w:trPr>
          <w:trHeight w:val="90"/>
        </w:trPr>
        <w:tc>
          <w:tcPr>
            <w:tcW w:w="4794" w:type="dxa"/>
            <w:vMerge/>
            <w:vAlign w:val="bottom"/>
          </w:tcPr>
          <w:p w:rsidR="00DF5399" w:rsidRPr="00D238AE" w:rsidRDefault="00DF5399" w:rsidP="00DF5399">
            <w:pPr>
              <w:jc w:val="right"/>
              <w:rPr>
                <w:rFonts w:ascii="Arial" w:hAnsi="Arial"/>
                <w:b/>
                <w:smallCaps/>
                <w:color w:val="000000"/>
                <w:lang w:val="de-DE"/>
              </w:rPr>
            </w:pPr>
          </w:p>
        </w:tc>
        <w:tc>
          <w:tcPr>
            <w:tcW w:w="4845" w:type="dxa"/>
            <w:gridSpan w:val="2"/>
          </w:tcPr>
          <w:p w:rsidR="00DF5399" w:rsidRPr="00D238AE" w:rsidRDefault="005C752C" w:rsidP="00DF5399">
            <w:pPr>
              <w:jc w:val="left"/>
              <w:rPr>
                <w:rFonts w:ascii="Arial" w:hAnsi="Arial"/>
                <w:b/>
                <w:color w:val="FF0000"/>
                <w:sz w:val="36"/>
                <w:szCs w:val="36"/>
                <w:lang w:val="de-DE"/>
              </w:rPr>
            </w:pPr>
            <w:r w:rsidRPr="00477831">
              <w:rPr>
                <w:rFonts w:ascii="Arial" w:hAnsi="Arial"/>
                <w:b/>
                <w:color w:val="FF0000"/>
                <w:sz w:val="44"/>
                <w:szCs w:val="44"/>
                <w:lang w:val="de-DE"/>
              </w:rPr>
              <w:t>Sozialdemokraten</w:t>
            </w:r>
          </w:p>
        </w:tc>
      </w:tr>
      <w:tr w:rsidR="00DF5399" w:rsidRPr="00D238AE" w:rsidTr="009911B9">
        <w:trPr>
          <w:trHeight w:val="90"/>
        </w:trPr>
        <w:tc>
          <w:tcPr>
            <w:tcW w:w="4794" w:type="dxa"/>
            <w:vMerge/>
            <w:vAlign w:val="bottom"/>
          </w:tcPr>
          <w:p w:rsidR="00DF5399" w:rsidRPr="00D238AE" w:rsidRDefault="00DF5399" w:rsidP="00DF5399">
            <w:pPr>
              <w:jc w:val="right"/>
              <w:rPr>
                <w:rFonts w:ascii="Arial" w:hAnsi="Arial"/>
                <w:b/>
                <w:smallCaps/>
                <w:color w:val="000000"/>
                <w:lang w:val="de-DE"/>
              </w:rPr>
            </w:pPr>
          </w:p>
        </w:tc>
        <w:tc>
          <w:tcPr>
            <w:tcW w:w="4845" w:type="dxa"/>
            <w:gridSpan w:val="2"/>
          </w:tcPr>
          <w:p w:rsidR="00DF5399" w:rsidRPr="00D238AE" w:rsidRDefault="00DF5399" w:rsidP="00DF5399">
            <w:pPr>
              <w:jc w:val="left"/>
              <w:rPr>
                <w:rFonts w:ascii="Arial" w:hAnsi="Arial" w:cs="Arial"/>
                <w:b/>
                <w:color w:val="FF0000"/>
                <w:sz w:val="22"/>
                <w:szCs w:val="22"/>
                <w:lang w:val="de-DE"/>
              </w:rPr>
            </w:pPr>
            <w:r w:rsidRPr="00D238AE">
              <w:rPr>
                <w:rFonts w:ascii="Arial" w:hAnsi="Arial" w:cs="Arial"/>
                <w:b/>
                <w:color w:val="FF0000"/>
                <w:sz w:val="22"/>
                <w:szCs w:val="22"/>
                <w:lang w:val="de-DE"/>
              </w:rPr>
              <w:t>im  Europäischen  Parlament</w:t>
            </w:r>
          </w:p>
        </w:tc>
      </w:tr>
      <w:tr w:rsidR="00DF5399" w:rsidRPr="00D238AE" w:rsidTr="009911B9">
        <w:trPr>
          <w:trHeight w:val="90"/>
        </w:trPr>
        <w:tc>
          <w:tcPr>
            <w:tcW w:w="4794" w:type="dxa"/>
            <w:vAlign w:val="bottom"/>
          </w:tcPr>
          <w:p w:rsidR="00DF5399" w:rsidRPr="00D238AE" w:rsidRDefault="00DF5399" w:rsidP="00DF5399">
            <w:pPr>
              <w:jc w:val="right"/>
              <w:rPr>
                <w:rFonts w:ascii="Arial" w:hAnsi="Arial"/>
                <w:b/>
                <w:smallCaps/>
                <w:color w:val="000000"/>
                <w:lang w:val="de-DE"/>
              </w:rPr>
            </w:pPr>
          </w:p>
        </w:tc>
        <w:tc>
          <w:tcPr>
            <w:tcW w:w="2352" w:type="dxa"/>
          </w:tcPr>
          <w:p w:rsidR="00DF5399" w:rsidRPr="00D238AE" w:rsidRDefault="00DF5399" w:rsidP="00DF5399">
            <w:pPr>
              <w:rPr>
                <w:rFonts w:ascii="Arial" w:hAnsi="Arial" w:cs="Arial"/>
                <w:b/>
                <w:color w:val="FF0000"/>
                <w:lang w:val="de-DE"/>
              </w:rPr>
            </w:pPr>
          </w:p>
        </w:tc>
        <w:tc>
          <w:tcPr>
            <w:tcW w:w="2493" w:type="dxa"/>
          </w:tcPr>
          <w:p w:rsidR="00DF5399" w:rsidRPr="00ED4FFF" w:rsidRDefault="00DF5399" w:rsidP="00DF5399">
            <w:pPr>
              <w:rPr>
                <w:rFonts w:ascii="Arial" w:hAnsi="Arial"/>
                <w:b/>
                <w:color w:val="FF0000"/>
                <w:sz w:val="16"/>
                <w:lang w:val="de-DE"/>
              </w:rPr>
            </w:pPr>
          </w:p>
          <w:p w:rsidR="00DF5399" w:rsidRPr="00ED4FFF" w:rsidRDefault="00DF5399" w:rsidP="00DF5399">
            <w:pPr>
              <w:rPr>
                <w:color w:val="FF0000"/>
                <w:lang w:val="de-DE"/>
              </w:rPr>
            </w:pPr>
            <w:r w:rsidRPr="00ED4FFF">
              <w:rPr>
                <w:rFonts w:ascii="Arial" w:hAnsi="Arial"/>
                <w:b/>
                <w:color w:val="FF0000"/>
                <w:sz w:val="16"/>
                <w:lang w:val="de-DE"/>
              </w:rPr>
              <w:t>Europäisches Parlament</w:t>
            </w:r>
          </w:p>
          <w:p w:rsidR="00DF5399" w:rsidRPr="00ED4FFF" w:rsidRDefault="00DF5399" w:rsidP="00DF5399">
            <w:pPr>
              <w:rPr>
                <w:rFonts w:ascii="Arial" w:hAnsi="Arial"/>
                <w:color w:val="FF0000"/>
                <w:sz w:val="16"/>
                <w:lang w:val="de-DE"/>
              </w:rPr>
            </w:pPr>
            <w:r w:rsidRPr="00ED4FFF">
              <w:rPr>
                <w:rFonts w:ascii="Arial" w:hAnsi="Arial"/>
                <w:color w:val="FF0000"/>
                <w:sz w:val="16"/>
                <w:lang w:val="de-DE"/>
              </w:rPr>
              <w:t>Rue Wiertz 60</w:t>
            </w:r>
          </w:p>
          <w:p w:rsidR="00DF5399" w:rsidRPr="00ED4FFF" w:rsidRDefault="00DF5399" w:rsidP="00DF5399">
            <w:pPr>
              <w:rPr>
                <w:rFonts w:ascii="Arial" w:hAnsi="Arial"/>
                <w:color w:val="FF0000"/>
                <w:sz w:val="16"/>
                <w:lang w:val="de-DE"/>
              </w:rPr>
            </w:pPr>
            <w:r w:rsidRPr="00ED4FFF">
              <w:rPr>
                <w:rFonts w:ascii="Arial" w:hAnsi="Arial"/>
                <w:color w:val="FF0000"/>
                <w:sz w:val="16"/>
                <w:lang w:val="de-DE"/>
              </w:rPr>
              <w:t>B-1047 Bruxelles</w:t>
            </w:r>
          </w:p>
          <w:p w:rsidR="00DF5399" w:rsidRPr="00ED4FFF" w:rsidRDefault="00DF5399" w:rsidP="00DF5399">
            <w:pPr>
              <w:rPr>
                <w:rFonts w:ascii="Arial" w:hAnsi="Arial"/>
                <w:color w:val="FF0000"/>
                <w:sz w:val="16"/>
                <w:lang w:val="de-DE"/>
              </w:rPr>
            </w:pPr>
            <w:r w:rsidRPr="00ED4FFF">
              <w:rPr>
                <w:rFonts w:ascii="Arial" w:hAnsi="Arial"/>
                <w:color w:val="FF0000"/>
                <w:sz w:val="16"/>
                <w:lang w:val="de-DE"/>
              </w:rPr>
              <w:t>T +32 2 284 2111</w:t>
            </w:r>
          </w:p>
          <w:p w:rsidR="00DF5399" w:rsidRPr="00ED4FFF" w:rsidRDefault="00DF5399" w:rsidP="00DF5399">
            <w:pPr>
              <w:rPr>
                <w:rFonts w:ascii="Arial" w:hAnsi="Arial"/>
                <w:color w:val="FF0000"/>
                <w:sz w:val="16"/>
                <w:lang w:val="de-DE"/>
              </w:rPr>
            </w:pPr>
            <w:r w:rsidRPr="00ED4FFF">
              <w:rPr>
                <w:rFonts w:ascii="Arial" w:hAnsi="Arial"/>
                <w:color w:val="FF0000"/>
                <w:sz w:val="16"/>
                <w:lang w:val="de-DE"/>
              </w:rPr>
              <w:t>F +32 2 230 6664</w:t>
            </w:r>
          </w:p>
          <w:p w:rsidR="00DF5399" w:rsidRPr="00ED4FFF" w:rsidRDefault="00ED4FFF" w:rsidP="00DF5399">
            <w:pPr>
              <w:rPr>
                <w:rFonts w:ascii="Arial" w:hAnsi="Arial"/>
                <w:color w:val="FF0000"/>
                <w:sz w:val="16"/>
                <w:lang w:val="de-DE"/>
              </w:rPr>
            </w:pPr>
            <w:r w:rsidRPr="00ED4FFF">
              <w:rPr>
                <w:rFonts w:ascii="Arial" w:hAnsi="Arial"/>
                <w:color w:val="FF0000"/>
                <w:sz w:val="16"/>
                <w:lang w:val="de-DE"/>
              </w:rPr>
              <w:t>www.socialistsanddemocrats.eu</w:t>
            </w:r>
          </w:p>
        </w:tc>
      </w:tr>
    </w:tbl>
    <w:p w:rsidR="009911B9" w:rsidRPr="0057477E" w:rsidRDefault="009911B9" w:rsidP="009911B9">
      <w:bookmarkStart w:id="0" w:name="Text"/>
      <w:bookmarkEnd w:id="0"/>
    </w:p>
    <w:p w:rsidR="009911B9" w:rsidRPr="00487543" w:rsidRDefault="009911B9" w:rsidP="009911B9">
      <w:pPr>
        <w:rPr>
          <w:rFonts w:asciiTheme="minorHAnsi" w:hAnsiTheme="minorHAnsi" w:cstheme="minorHAnsi"/>
          <w:sz w:val="24"/>
          <w:szCs w:val="24"/>
        </w:rPr>
      </w:pPr>
    </w:p>
    <w:p w:rsidR="005D0B0A" w:rsidRPr="00487543" w:rsidRDefault="005D0B0A">
      <w:pPr>
        <w:rPr>
          <w:rFonts w:asciiTheme="minorHAnsi" w:hAnsiTheme="minorHAnsi" w:cstheme="minorHAnsi"/>
          <w:sz w:val="24"/>
          <w:szCs w:val="24"/>
          <w:lang w:val="de-DE"/>
        </w:rPr>
      </w:pPr>
    </w:p>
    <w:p w:rsidR="00477710" w:rsidRDefault="00477710" w:rsidP="00477710">
      <w:pPr>
        <w:jc w:val="center"/>
        <w:rPr>
          <w:rFonts w:asciiTheme="minorHAnsi" w:hAnsiTheme="minorHAnsi" w:cstheme="minorHAnsi"/>
          <w:b/>
          <w:sz w:val="24"/>
          <w:szCs w:val="24"/>
          <w:lang w:val="de-DE"/>
        </w:rPr>
      </w:pPr>
      <w:r>
        <w:rPr>
          <w:rFonts w:asciiTheme="minorHAnsi" w:hAnsiTheme="minorHAnsi" w:cstheme="minorHAnsi"/>
          <w:b/>
          <w:sz w:val="24"/>
          <w:szCs w:val="24"/>
          <w:lang w:val="de-DE"/>
        </w:rPr>
        <w:t>SELBSTVERPFLICHTUNG GEGEN SEXISTISCHE WERBUNG</w:t>
      </w:r>
    </w:p>
    <w:p w:rsidR="00477710" w:rsidRDefault="00477710" w:rsidP="00477710">
      <w:pPr>
        <w:jc w:val="center"/>
        <w:rPr>
          <w:rFonts w:asciiTheme="minorHAnsi" w:hAnsiTheme="minorHAnsi" w:cstheme="minorHAnsi"/>
          <w:b/>
          <w:sz w:val="24"/>
          <w:szCs w:val="24"/>
          <w:lang w:val="de-DE"/>
        </w:rPr>
      </w:pPr>
    </w:p>
    <w:p w:rsidR="00477710" w:rsidRDefault="00477710" w:rsidP="00477710">
      <w:pPr>
        <w:jc w:val="center"/>
        <w:rPr>
          <w:rFonts w:asciiTheme="minorHAnsi" w:hAnsiTheme="minorHAnsi" w:cstheme="minorHAnsi"/>
          <w:b/>
          <w:sz w:val="24"/>
          <w:szCs w:val="24"/>
          <w:lang w:val="de-DE"/>
        </w:rPr>
      </w:pPr>
      <w:r>
        <w:rPr>
          <w:rFonts w:asciiTheme="minorHAnsi" w:hAnsiTheme="minorHAnsi" w:cstheme="minorHAnsi"/>
          <w:b/>
          <w:sz w:val="24"/>
          <w:szCs w:val="24"/>
          <w:lang w:val="de-DE"/>
        </w:rPr>
        <w:t xml:space="preserve">16.01.2018 </w:t>
      </w:r>
    </w:p>
    <w:p w:rsidR="00477710" w:rsidRDefault="00477710" w:rsidP="00477710">
      <w:pPr>
        <w:jc w:val="center"/>
        <w:rPr>
          <w:rFonts w:asciiTheme="minorHAnsi" w:hAnsiTheme="minorHAnsi" w:cstheme="minorHAnsi"/>
          <w:b/>
          <w:sz w:val="24"/>
          <w:szCs w:val="24"/>
          <w:lang w:val="de-DE"/>
        </w:rPr>
      </w:pPr>
    </w:p>
    <w:p w:rsidR="00477710" w:rsidRDefault="00477710" w:rsidP="00477710">
      <w:pPr>
        <w:jc w:val="center"/>
        <w:rPr>
          <w:rFonts w:asciiTheme="minorHAnsi" w:hAnsiTheme="minorHAnsi" w:cstheme="minorHAnsi"/>
          <w:b/>
          <w:sz w:val="24"/>
          <w:szCs w:val="24"/>
          <w:lang w:val="de-DE"/>
        </w:rPr>
      </w:pPr>
    </w:p>
    <w:p w:rsidR="00477710" w:rsidRDefault="00477710" w:rsidP="00477710">
      <w:pPr>
        <w:jc w:val="center"/>
        <w:rPr>
          <w:rFonts w:asciiTheme="minorHAnsi" w:hAnsiTheme="minorHAnsi" w:cstheme="minorHAnsi"/>
          <w:b/>
          <w:sz w:val="24"/>
          <w:szCs w:val="24"/>
          <w:lang w:val="de-DE"/>
        </w:rPr>
      </w:pPr>
    </w:p>
    <w:p w:rsidR="00477710" w:rsidRDefault="00477710" w:rsidP="00477710">
      <w:pPr>
        <w:rPr>
          <w:rFonts w:asciiTheme="minorHAnsi" w:hAnsiTheme="minorHAnsi" w:cstheme="minorHAnsi"/>
          <w:sz w:val="24"/>
          <w:szCs w:val="24"/>
          <w:lang w:val="de-DE"/>
        </w:rPr>
      </w:pPr>
      <w:r>
        <w:rPr>
          <w:rFonts w:asciiTheme="minorHAnsi" w:hAnsiTheme="minorHAnsi" w:cstheme="minorHAnsi"/>
          <w:sz w:val="24"/>
          <w:szCs w:val="24"/>
          <w:lang w:val="de-DE"/>
        </w:rPr>
        <w:t>In meiner Funktion als ________________________, verpflichte ich mich:</w:t>
      </w:r>
    </w:p>
    <w:p w:rsidR="00477710" w:rsidRDefault="00477710" w:rsidP="00477710">
      <w:pPr>
        <w:rPr>
          <w:rFonts w:asciiTheme="minorHAnsi" w:hAnsiTheme="minorHAnsi" w:cstheme="minorHAnsi"/>
          <w:sz w:val="24"/>
          <w:szCs w:val="24"/>
          <w:lang w:val="de-DE"/>
        </w:rPr>
      </w:pPr>
    </w:p>
    <w:p w:rsidR="00477710" w:rsidRDefault="00477710" w:rsidP="00477710">
      <w:pPr>
        <w:rPr>
          <w:rFonts w:asciiTheme="minorHAnsi" w:hAnsiTheme="minorHAnsi"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Die Würde aller Menschen, sowie die Vielfalt und Gleichheit von Frauen und Männern zu achten;</w:t>
      </w:r>
    </w:p>
    <w:p w:rsidR="00477710" w:rsidRDefault="00477710" w:rsidP="00477710">
      <w:pPr>
        <w:rPr>
          <w:rFonts w:asciiTheme="minorHAnsi" w:hAnsiTheme="minorHAnsi"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 xml:space="preserve">Sexismus per Definition als eine Reihe von Überzeugungen und/oder Handlungen anzuerkennen, die auf einer ungerechtfertigten Unterscheidung zwischen den Geschlechtern basieren und schädliche individuelle oder kollektive Folgen haben können; </w:t>
      </w:r>
    </w:p>
    <w:p w:rsidR="00477710" w:rsidRDefault="00477710" w:rsidP="00477710">
      <w:pPr>
        <w:pStyle w:val="ListParagraph"/>
        <w:ind w:left="928"/>
        <w:jc w:val="both"/>
        <w:rPr>
          <w:rFonts w:cstheme="minorHAnsi"/>
          <w:sz w:val="24"/>
          <w:szCs w:val="24"/>
          <w:lang w:val="de-DE"/>
        </w:rPr>
      </w:pP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Die Definition von Geschlechterstereotypen als eine vereinfachende Verallgemeinerung von Eigenschaften, Unterschieden und vorgegebenen traditionellen Rollenbildern von Frauen und Männern anzuerkennen, die zu imaginären, stereotypen Gesellschaftsmodellen und vereinfachten Gesellschaftskodizes führen können, welche wiederum hierarchische und diskriminierende Werte vermitteln und Menschen in bestimmte gesellschaftliche Schubladen stecken;</w:t>
      </w:r>
    </w:p>
    <w:p w:rsidR="00477710" w:rsidRDefault="00477710" w:rsidP="00477710">
      <w:pPr>
        <w:pStyle w:val="ListParagraph"/>
        <w:ind w:left="928"/>
        <w:jc w:val="both"/>
        <w:rPr>
          <w:rFonts w:cstheme="minorHAnsi"/>
          <w:sz w:val="24"/>
          <w:szCs w:val="24"/>
          <w:lang w:val="de-DE"/>
        </w:rPr>
      </w:pP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 xml:space="preserve">Anzuerkennen, dass sexistische und stereotype Botschaften, die in der Werbung durch Bilder, Worte oder Haltungen ausgedrückt und übermittelt werden, einen Einfluss auf die Denkmuster der Menschen haben, was wiederum zu mehr Geschlechterungleichheit und Gewalt gegen Frauen beiträgt und sich gegen unsere Vorstellung von einer progressiven Gesellschaft richtet. Anzuerkennen, dass das ständige und systematische Exponiert-Sein mit normativen und unrealistischen Vorstellungen von Weiblichkeit und Männlichkeit ein Risiko für die geistige und körperliche Gesundheit der Menschen, insbesondere junger Menschen, darstellt.  </w:t>
      </w: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ind w:left="928"/>
        <w:jc w:val="both"/>
        <w:rPr>
          <w:rFonts w:cstheme="minorHAnsi"/>
          <w:sz w:val="24"/>
          <w:szCs w:val="24"/>
          <w:lang w:val="de-DE"/>
        </w:rPr>
      </w:pPr>
    </w:p>
    <w:p w:rsidR="00477710" w:rsidRP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 xml:space="preserve">Die UN-Konvention zur Beseitigung jeder Form von Diskriminierung der Frau, die Istanbulkonvention und die </w:t>
      </w:r>
      <w:bookmarkStart w:id="1" w:name="Sujet"/>
      <w:r>
        <w:rPr>
          <w:rFonts w:cstheme="minorHAnsi"/>
          <w:sz w:val="24"/>
          <w:szCs w:val="24"/>
          <w:lang w:val="de-DE"/>
        </w:rPr>
        <w:t xml:space="preserve">Entschließung des Europäischen Parlaments Nr. 2038/2008 </w:t>
      </w:r>
      <w:bookmarkEnd w:id="1"/>
      <w:r>
        <w:rPr>
          <w:rFonts w:cstheme="minorHAnsi"/>
          <w:bCs/>
          <w:sz w:val="24"/>
          <w:szCs w:val="24"/>
          <w:lang w:val="de-DE"/>
        </w:rPr>
        <w:lastRenderedPageBreak/>
        <w:t>über die Auswirkungen von Marketing und Werbung auf die Gleichstellung von Frauen und Männern umzusetzen;</w:t>
      </w:r>
    </w:p>
    <w:p w:rsidR="00477710" w:rsidRDefault="00477710" w:rsidP="00477710">
      <w:pPr>
        <w:pStyle w:val="ListParagraph"/>
        <w:spacing w:line="256" w:lineRule="auto"/>
        <w:ind w:left="360"/>
        <w:jc w:val="both"/>
        <w:rPr>
          <w:rFonts w:cstheme="minorHAnsi"/>
          <w:sz w:val="24"/>
          <w:szCs w:val="24"/>
          <w:lang w:val="de-DE"/>
        </w:rPr>
      </w:pPr>
    </w:p>
    <w:p w:rsidR="00477710" w:rsidRDefault="00477710" w:rsidP="00477710">
      <w:pPr>
        <w:pStyle w:val="ListParagraph"/>
        <w:ind w:left="928"/>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Die ungleiche Behandlung von Frauen und Männern durch ein Verbot sexistischer und stereotyper Werbung an öffentlichen Orten sowohl auf kommunaler als auch auf regionaler Ebene zu bekämpfen;</w:t>
      </w: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Die Herabwürdigung von Frauen zu Sexobjekten, die Auffassung, dass Frauen körperlich und intellektuell minderwertig und Männern untergeordnet sind, sowie die erniedrigende und/oder demütigende Darstellung von Frauen durch Beschreibungen, Positionierungen oder Gesten zu verbieten;</w:t>
      </w: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Stellung zu beziehen gegen sexistische Klischees und Konnotationen in der Werbung, wie zum Beispiel in Form von stereotypen Rollenzuweisungen, Berufen, Tätigkeitsfeldern und Verhaltensweisen, selbst wenn diese durch den Deckmantel des Humors oder Glamours vermittelt werden.</w:t>
      </w: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Nach Möglichkeiten Kurse (im Rahmen von allgemeinen oder beruflichen  Bildungsprogrammen) zu fördern, die den Abbau sexistischer Stereotype zum Ziel haben.</w:t>
      </w: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ind w:left="360"/>
        <w:jc w:val="both"/>
        <w:rPr>
          <w:rFonts w:cstheme="minorHAnsi"/>
          <w:sz w:val="24"/>
          <w:szCs w:val="24"/>
          <w:lang w:val="de-DE"/>
        </w:rPr>
      </w:pPr>
    </w:p>
    <w:p w:rsidR="00477710" w:rsidRDefault="00477710" w:rsidP="00477710">
      <w:pPr>
        <w:pStyle w:val="ListParagraph"/>
        <w:numPr>
          <w:ilvl w:val="0"/>
          <w:numId w:val="2"/>
        </w:numPr>
        <w:spacing w:line="256" w:lineRule="auto"/>
        <w:jc w:val="both"/>
        <w:rPr>
          <w:rFonts w:cstheme="minorHAnsi"/>
          <w:sz w:val="24"/>
          <w:szCs w:val="24"/>
          <w:lang w:val="de-DE"/>
        </w:rPr>
      </w:pPr>
      <w:r>
        <w:rPr>
          <w:rFonts w:cstheme="minorHAnsi"/>
          <w:sz w:val="24"/>
          <w:szCs w:val="24"/>
          <w:lang w:val="de-DE"/>
        </w:rPr>
        <w:t xml:space="preserve"> Den Austausch bewährter Praktiken im Kampf gegen sexistische und geschlechterstereotype Werbung in Städten zu fördern und mit den für die Werbebranche zuständigen europäischen, nationalen, regionalen und lokalen Regulierungsbehörden zusammen zu arbeiten, um die Werbebranche zu sensibilisieren und die Einhaltung anti-sexistischer beruflicher und ethischer Kodizes zu fördern. </w:t>
      </w:r>
    </w:p>
    <w:p w:rsidR="00477710" w:rsidRDefault="00477710" w:rsidP="00477710">
      <w:pPr>
        <w:pStyle w:val="ListParagraph"/>
        <w:ind w:hanging="294"/>
        <w:jc w:val="both"/>
        <w:rPr>
          <w:rFonts w:cstheme="minorHAnsi"/>
          <w:sz w:val="24"/>
          <w:szCs w:val="24"/>
          <w:lang w:val="de-DE"/>
        </w:rPr>
      </w:pPr>
    </w:p>
    <w:p w:rsidR="00477710" w:rsidRDefault="00477710" w:rsidP="00477710">
      <w:pPr>
        <w:pStyle w:val="ListParagraph"/>
        <w:ind w:left="928" w:hanging="502"/>
        <w:jc w:val="both"/>
        <w:rPr>
          <w:rFonts w:cstheme="minorHAnsi"/>
          <w:sz w:val="24"/>
          <w:szCs w:val="24"/>
          <w:lang w:val="de-DE"/>
        </w:rPr>
      </w:pPr>
      <w:bookmarkStart w:id="2" w:name="_GoBack"/>
      <w:bookmarkEnd w:id="2"/>
    </w:p>
    <w:p w:rsidR="00477710" w:rsidRDefault="00477710" w:rsidP="00477710">
      <w:pPr>
        <w:rPr>
          <w:rFonts w:asciiTheme="minorHAnsi" w:hAnsiTheme="minorHAnsi" w:cstheme="minorHAnsi"/>
          <w:sz w:val="24"/>
          <w:szCs w:val="24"/>
          <w:lang w:val="de-DE"/>
        </w:rPr>
      </w:pPr>
    </w:p>
    <w:p w:rsidR="00477710" w:rsidRDefault="00477710" w:rsidP="00477710">
      <w:pPr>
        <w:rPr>
          <w:rFonts w:asciiTheme="minorHAnsi" w:hAnsiTheme="minorHAnsi" w:cstheme="minorHAnsi"/>
          <w:sz w:val="24"/>
          <w:szCs w:val="24"/>
          <w:lang w:val="de-DE"/>
        </w:rPr>
      </w:pPr>
      <w:r>
        <w:rPr>
          <w:rFonts w:asciiTheme="minorHAnsi" w:hAnsiTheme="minorHAnsi" w:cstheme="minorHAnsi"/>
          <w:sz w:val="24"/>
          <w:szCs w:val="24"/>
          <w:lang w:val="de-DE"/>
        </w:rPr>
        <w:t>Datum</w:t>
      </w:r>
    </w:p>
    <w:p w:rsidR="00477710" w:rsidRDefault="00477710" w:rsidP="00477710">
      <w:pPr>
        <w:rPr>
          <w:rFonts w:asciiTheme="minorHAnsi" w:hAnsiTheme="minorHAnsi" w:cstheme="minorHAnsi"/>
          <w:sz w:val="24"/>
          <w:szCs w:val="24"/>
          <w:lang w:val="de-DE"/>
        </w:rPr>
      </w:pPr>
    </w:p>
    <w:p w:rsidR="00477710" w:rsidRDefault="00477710" w:rsidP="00477710">
      <w:pPr>
        <w:rPr>
          <w:rFonts w:asciiTheme="minorHAnsi" w:hAnsiTheme="minorHAnsi" w:cstheme="minorHAnsi"/>
          <w:sz w:val="24"/>
          <w:szCs w:val="24"/>
          <w:lang w:val="de-DE"/>
        </w:rPr>
      </w:pPr>
    </w:p>
    <w:p w:rsidR="00477710" w:rsidRDefault="00477710" w:rsidP="00477710">
      <w:pPr>
        <w:rPr>
          <w:rFonts w:asciiTheme="minorHAnsi" w:hAnsiTheme="minorHAnsi" w:cstheme="minorHAnsi"/>
          <w:sz w:val="24"/>
          <w:szCs w:val="24"/>
          <w:lang w:val="de-DE"/>
        </w:rPr>
      </w:pPr>
    </w:p>
    <w:p w:rsidR="00477710" w:rsidRDefault="00477710" w:rsidP="00477710">
      <w:pPr>
        <w:rPr>
          <w:rFonts w:asciiTheme="minorHAnsi" w:hAnsiTheme="minorHAnsi" w:cstheme="minorHAnsi"/>
          <w:sz w:val="24"/>
          <w:szCs w:val="24"/>
          <w:lang w:val="de-DE"/>
        </w:rPr>
      </w:pPr>
    </w:p>
    <w:p w:rsidR="00477710" w:rsidRDefault="00477710" w:rsidP="00477710">
      <w:pPr>
        <w:rPr>
          <w:rFonts w:asciiTheme="minorHAnsi" w:hAnsiTheme="minorHAnsi" w:cstheme="minorHAnsi"/>
          <w:sz w:val="24"/>
          <w:szCs w:val="24"/>
          <w:lang w:val="de-DE"/>
        </w:rPr>
      </w:pPr>
      <w:r>
        <w:rPr>
          <w:rFonts w:asciiTheme="minorHAnsi" w:hAnsiTheme="minorHAnsi" w:cstheme="minorHAnsi"/>
          <w:sz w:val="24"/>
          <w:szCs w:val="24"/>
          <w:lang w:val="de-DE"/>
        </w:rPr>
        <w:t>Unterschrift</w:t>
      </w:r>
    </w:p>
    <w:p w:rsidR="005D0B0A" w:rsidRPr="00D238AE" w:rsidRDefault="00487543" w:rsidP="00487543">
      <w:pPr>
        <w:rPr>
          <w:sz w:val="24"/>
          <w:lang w:val="de-DE"/>
        </w:rPr>
      </w:pPr>
      <w:r>
        <w:rPr>
          <w:noProof/>
        </w:rPr>
        <w:drawing>
          <wp:anchor distT="0" distB="0" distL="114300" distR="114300" simplePos="0" relativeHeight="251661312" behindDoc="0" locked="0" layoutInCell="1" allowOverlap="1" wp14:anchorId="0E5BF91A" wp14:editId="797018A2">
            <wp:simplePos x="0" y="0"/>
            <wp:positionH relativeFrom="margin">
              <wp:align>right</wp:align>
            </wp:positionH>
            <wp:positionV relativeFrom="page">
              <wp:posOffset>8994581</wp:posOffset>
            </wp:positionV>
            <wp:extent cx="2051437" cy="1025719"/>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ps_foundation_european_studies_logo_s.jpg"/>
                    <pic:cNvPicPr/>
                  </pic:nvPicPr>
                  <pic:blipFill>
                    <a:blip r:embed="rId8">
                      <a:extLst>
                        <a:ext uri="{28A0092B-C50C-407E-A947-70E740481C1C}">
                          <a14:useLocalDpi xmlns:a14="http://schemas.microsoft.com/office/drawing/2010/main" val="0"/>
                        </a:ext>
                      </a:extLst>
                    </a:blip>
                    <a:stretch>
                      <a:fillRect/>
                    </a:stretch>
                  </pic:blipFill>
                  <pic:spPr>
                    <a:xfrm>
                      <a:off x="0" y="0"/>
                      <a:ext cx="2051437" cy="10257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1FD7F0D" wp14:editId="25000F69">
            <wp:simplePos x="0" y="0"/>
            <wp:positionH relativeFrom="column">
              <wp:posOffset>-277330</wp:posOffset>
            </wp:positionH>
            <wp:positionV relativeFrom="margin">
              <wp:align>bottom</wp:align>
            </wp:positionV>
            <wp:extent cx="1184745" cy="1184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_women_logo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745" cy="1184745"/>
                    </a:xfrm>
                    <a:prstGeom prst="rect">
                      <a:avLst/>
                    </a:prstGeom>
                  </pic:spPr>
                </pic:pic>
              </a:graphicData>
            </a:graphic>
            <wp14:sizeRelH relativeFrom="margin">
              <wp14:pctWidth>0</wp14:pctWidth>
            </wp14:sizeRelH>
            <wp14:sizeRelV relativeFrom="margin">
              <wp14:pctHeight>0</wp14:pctHeight>
            </wp14:sizeRelV>
          </wp:anchor>
        </w:drawing>
      </w:r>
      <w:r w:rsidRPr="00487543">
        <w:rPr>
          <w:rFonts w:asciiTheme="minorHAnsi" w:hAnsiTheme="minorHAnsi" w:cstheme="minorHAnsi"/>
          <w:noProof/>
          <w:sz w:val="24"/>
          <w:szCs w:val="24"/>
        </w:rPr>
        <w:drawing>
          <wp:anchor distT="0" distB="0" distL="114300" distR="114300" simplePos="0" relativeHeight="251660288" behindDoc="0" locked="0" layoutInCell="1" allowOverlap="1" wp14:anchorId="5C6DF5E9" wp14:editId="017FDD9D">
            <wp:simplePos x="0" y="0"/>
            <wp:positionH relativeFrom="column">
              <wp:posOffset>1201227</wp:posOffset>
            </wp:positionH>
            <wp:positionV relativeFrom="page">
              <wp:posOffset>9190355</wp:posOffset>
            </wp:positionV>
            <wp:extent cx="2345055" cy="7581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_group_EU_committee_regions_logo_s.jpg"/>
                    <pic:cNvPicPr/>
                  </pic:nvPicPr>
                  <pic:blipFill>
                    <a:blip r:embed="rId10">
                      <a:extLst>
                        <a:ext uri="{28A0092B-C50C-407E-A947-70E740481C1C}">
                          <a14:useLocalDpi xmlns:a14="http://schemas.microsoft.com/office/drawing/2010/main" val="0"/>
                        </a:ext>
                      </a:extLst>
                    </a:blip>
                    <a:stretch>
                      <a:fillRect/>
                    </a:stretch>
                  </pic:blipFill>
                  <pic:spPr>
                    <a:xfrm>
                      <a:off x="0" y="0"/>
                      <a:ext cx="2345055" cy="758190"/>
                    </a:xfrm>
                    <a:prstGeom prst="rect">
                      <a:avLst/>
                    </a:prstGeom>
                  </pic:spPr>
                </pic:pic>
              </a:graphicData>
            </a:graphic>
            <wp14:sizeRelH relativeFrom="margin">
              <wp14:pctWidth>0</wp14:pctWidth>
            </wp14:sizeRelH>
            <wp14:sizeRelV relativeFrom="margin">
              <wp14:pctHeight>0</wp14:pctHeight>
            </wp14:sizeRelV>
          </wp:anchor>
        </w:drawing>
      </w:r>
    </w:p>
    <w:sectPr w:rsidR="005D0B0A" w:rsidRPr="00D238AE" w:rsidSect="00DF5399">
      <w:type w:val="continuous"/>
      <w:pgSz w:w="11907" w:h="16840" w:code="9"/>
      <w:pgMar w:top="851" w:right="1361" w:bottom="851" w:left="1361"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B9" w:rsidRDefault="009911B9">
      <w:r>
        <w:separator/>
      </w:r>
    </w:p>
  </w:endnote>
  <w:endnote w:type="continuationSeparator" w:id="0">
    <w:p w:rsidR="009911B9" w:rsidRDefault="0099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B9" w:rsidRDefault="009911B9">
      <w:r>
        <w:separator/>
      </w:r>
    </w:p>
  </w:footnote>
  <w:footnote w:type="continuationSeparator" w:id="0">
    <w:p w:rsidR="009911B9" w:rsidRDefault="0099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57F81"/>
    <w:multiLevelType w:val="hybridMultilevel"/>
    <w:tmpl w:val="D486C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B9"/>
    <w:rsid w:val="000A022B"/>
    <w:rsid w:val="001667A5"/>
    <w:rsid w:val="002015F4"/>
    <w:rsid w:val="003A4D1D"/>
    <w:rsid w:val="00443874"/>
    <w:rsid w:val="004623FC"/>
    <w:rsid w:val="00477710"/>
    <w:rsid w:val="00487543"/>
    <w:rsid w:val="005C752C"/>
    <w:rsid w:val="005D0B0A"/>
    <w:rsid w:val="008913D1"/>
    <w:rsid w:val="009911B9"/>
    <w:rsid w:val="00D238AE"/>
    <w:rsid w:val="00DF5399"/>
    <w:rsid w:val="00EA6C0F"/>
    <w:rsid w:val="00ED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0CF65D-0343-4224-A40F-8A7652BE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table" w:styleId="TableGrid">
    <w:name w:val="Table Grid"/>
    <w:basedOn w:val="TableNormal"/>
    <w:rsid w:val="00DF53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54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9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ebrusfsa\wptemp$\OfficeWorkgroupTemplates\W7-GroupDoc\Blank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ADD1-0CC8-496F-A28C-0513179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BlankDE</Template>
  <TotalTime>0</TotalTime>
  <Pages>2</Pages>
  <Words>412</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 DE</vt:lpstr>
    </vt:vector>
  </TitlesOfParts>
  <Company>European Parliament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DE</dc:title>
  <dc:subject>Letterhead DE</dc:subject>
  <dc:creator>NOTLEY Diana</dc:creator>
  <cp:keywords>Group Logo Name DE</cp:keywords>
  <cp:lastModifiedBy>NOTLEY Diana</cp:lastModifiedBy>
  <cp:revision>2</cp:revision>
  <cp:lastPrinted>2004-11-03T12:42:00Z</cp:lastPrinted>
  <dcterms:created xsi:type="dcterms:W3CDTF">2018-02-27T13:36:00Z</dcterms:created>
  <dcterms:modified xsi:type="dcterms:W3CDTF">2018-02-27T13:36:00Z</dcterms:modified>
  <cp:category>Group templates</cp:category>
</cp:coreProperties>
</file>